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Look w:val="01E0" w:firstRow="1" w:lastRow="1" w:firstColumn="1" w:lastColumn="1" w:noHBand="0" w:noVBand="0"/>
      </w:tblPr>
      <w:tblGrid>
        <w:gridCol w:w="2931"/>
        <w:gridCol w:w="2931"/>
        <w:gridCol w:w="2927"/>
      </w:tblGrid>
      <w:tr w:rsidR="00142648" w:rsidRPr="00142648" w:rsidTr="00142648">
        <w:trPr>
          <w:trHeight w:val="317"/>
        </w:trPr>
        <w:tc>
          <w:tcPr>
            <w:tcW w:w="2931" w:type="dxa"/>
            <w:tcBorders>
              <w:top w:val="nil"/>
              <w:left w:val="nil"/>
              <w:bottom w:val="single" w:sz="4" w:space="0" w:color="660066"/>
              <w:right w:val="nil"/>
            </w:tcBorders>
            <w:vAlign w:val="center"/>
            <w:hideMark/>
          </w:tcPr>
          <w:p w:rsidR="00142648" w:rsidRPr="00142648" w:rsidRDefault="00142648" w:rsidP="00142648">
            <w:pPr>
              <w:rPr>
                <w:lang w:val="tr-TR"/>
              </w:rPr>
            </w:pPr>
            <w:bookmarkStart w:id="0" w:name="_GoBack"/>
            <w:bookmarkEnd w:id="0"/>
            <w:r w:rsidRPr="00142648">
              <w:rPr>
                <w:lang w:val="tr-TR"/>
              </w:rPr>
              <w:t>27 Aralık 2019 CUMA</w:t>
            </w:r>
          </w:p>
        </w:tc>
        <w:tc>
          <w:tcPr>
            <w:tcW w:w="2931" w:type="dxa"/>
            <w:tcBorders>
              <w:top w:val="nil"/>
              <w:left w:val="nil"/>
              <w:bottom w:val="single" w:sz="4" w:space="0" w:color="660066"/>
              <w:right w:val="nil"/>
            </w:tcBorders>
            <w:vAlign w:val="center"/>
            <w:hideMark/>
          </w:tcPr>
          <w:p w:rsidR="00142648" w:rsidRPr="00142648" w:rsidRDefault="00142648" w:rsidP="00142648">
            <w:pPr>
              <w:rPr>
                <w:lang w:val="tr-TR"/>
              </w:rPr>
            </w:pPr>
            <w:r w:rsidRPr="00142648">
              <w:rPr>
                <w:b/>
                <w:lang w:val="tr-TR"/>
              </w:rPr>
              <w:t>Resmî Gazete</w:t>
            </w:r>
          </w:p>
        </w:tc>
        <w:tc>
          <w:tcPr>
            <w:tcW w:w="2927" w:type="dxa"/>
            <w:tcBorders>
              <w:top w:val="nil"/>
              <w:left w:val="nil"/>
              <w:bottom w:val="single" w:sz="4" w:space="0" w:color="660066"/>
              <w:right w:val="nil"/>
            </w:tcBorders>
            <w:vAlign w:val="center"/>
            <w:hideMark/>
          </w:tcPr>
          <w:p w:rsidR="00142648" w:rsidRPr="00142648" w:rsidRDefault="00142648" w:rsidP="00142648">
            <w:pPr>
              <w:rPr>
                <w:lang w:val="tr-TR"/>
              </w:rPr>
            </w:pPr>
            <w:proofErr w:type="gramStart"/>
            <w:r w:rsidRPr="00142648">
              <w:rPr>
                <w:lang w:val="tr-TR"/>
              </w:rPr>
              <w:t>Sayı : 30991</w:t>
            </w:r>
            <w:proofErr w:type="gramEnd"/>
            <w:r w:rsidRPr="00142648">
              <w:rPr>
                <w:lang w:val="tr-TR"/>
              </w:rPr>
              <w:t xml:space="preserve"> </w:t>
            </w:r>
            <w:r w:rsidRPr="00142648">
              <w:rPr>
                <w:b/>
                <w:bCs/>
                <w:lang w:val="tr-TR"/>
              </w:rPr>
              <w:t>(2. Mükerrer)</w:t>
            </w:r>
          </w:p>
        </w:tc>
      </w:tr>
      <w:tr w:rsidR="00142648" w:rsidRPr="00142648" w:rsidTr="00142648">
        <w:trPr>
          <w:trHeight w:val="480"/>
        </w:trPr>
        <w:tc>
          <w:tcPr>
            <w:tcW w:w="8789" w:type="dxa"/>
            <w:gridSpan w:val="3"/>
            <w:vAlign w:val="center"/>
            <w:hideMark/>
          </w:tcPr>
          <w:p w:rsidR="00142648" w:rsidRPr="00142648" w:rsidRDefault="00142648" w:rsidP="00142648">
            <w:pPr>
              <w:rPr>
                <w:lang w:val="tr-TR"/>
              </w:rPr>
            </w:pPr>
            <w:r w:rsidRPr="00142648">
              <w:rPr>
                <w:b/>
                <w:lang w:val="tr-TR"/>
              </w:rPr>
              <w:t>TEBLİĞ</w:t>
            </w:r>
          </w:p>
        </w:tc>
      </w:tr>
      <w:tr w:rsidR="00142648" w:rsidRPr="00142648" w:rsidTr="00142648">
        <w:trPr>
          <w:trHeight w:val="480"/>
        </w:trPr>
        <w:tc>
          <w:tcPr>
            <w:tcW w:w="8789" w:type="dxa"/>
            <w:gridSpan w:val="3"/>
            <w:vAlign w:val="center"/>
            <w:hideMark/>
          </w:tcPr>
          <w:p w:rsidR="00142648" w:rsidRPr="00142648" w:rsidRDefault="00142648" w:rsidP="00142648">
            <w:pPr>
              <w:rPr>
                <w:lang w:val="tr-TR"/>
              </w:rPr>
            </w:pPr>
            <w:r w:rsidRPr="00142648">
              <w:rPr>
                <w:lang w:val="tr-TR"/>
              </w:rPr>
              <w:t>Hazine ve Maliye Bakanlığı (Gelir İdaresi Başkanlığı)’</w:t>
            </w:r>
            <w:proofErr w:type="spellStart"/>
            <w:r w:rsidRPr="00142648">
              <w:rPr>
                <w:lang w:val="tr-TR"/>
              </w:rPr>
              <w:t>ndan</w:t>
            </w:r>
            <w:proofErr w:type="spellEnd"/>
            <w:r w:rsidRPr="00142648">
              <w:rPr>
                <w:lang w:val="tr-TR"/>
              </w:rPr>
              <w:t>:</w:t>
            </w:r>
          </w:p>
          <w:p w:rsidR="00142648" w:rsidRPr="00142648" w:rsidRDefault="00142648" w:rsidP="00142648">
            <w:pPr>
              <w:rPr>
                <w:lang w:val="tr-TR"/>
              </w:rPr>
            </w:pPr>
            <w:r w:rsidRPr="00142648">
              <w:rPr>
                <w:lang w:val="tr-TR"/>
              </w:rPr>
              <w:t>DAMGA VERGİSİ KANUNU GENEL TEBLİĞİ</w:t>
            </w:r>
          </w:p>
          <w:p w:rsidR="00142648" w:rsidRPr="00142648" w:rsidRDefault="00142648" w:rsidP="00142648">
            <w:pPr>
              <w:rPr>
                <w:lang w:val="tr-TR"/>
              </w:rPr>
            </w:pPr>
            <w:r w:rsidRPr="00142648">
              <w:rPr>
                <w:lang w:val="tr-TR"/>
              </w:rPr>
              <w:t>(SERİ NO: 64)</w:t>
            </w:r>
          </w:p>
          <w:p w:rsidR="00142648" w:rsidRPr="00142648" w:rsidRDefault="00142648" w:rsidP="00142648">
            <w:pPr>
              <w:rPr>
                <w:lang w:val="tr-TR"/>
              </w:rPr>
            </w:pPr>
            <w:r w:rsidRPr="00142648">
              <w:rPr>
                <w:b/>
                <w:lang w:val="tr-TR"/>
              </w:rPr>
              <w:t>Amaç ve kapsam</w:t>
            </w:r>
          </w:p>
          <w:p w:rsidR="00142648" w:rsidRPr="00142648" w:rsidRDefault="00142648" w:rsidP="00142648">
            <w:pPr>
              <w:rPr>
                <w:lang w:val="tr-TR"/>
              </w:rPr>
            </w:pPr>
            <w:r w:rsidRPr="00142648">
              <w:rPr>
                <w:b/>
                <w:lang w:val="tr-TR"/>
              </w:rPr>
              <w:t xml:space="preserve">MADDE 1 – </w:t>
            </w:r>
            <w:r w:rsidRPr="00142648">
              <w:rPr>
                <w:lang w:val="tr-TR"/>
              </w:rPr>
              <w:t>(1) Bu Tebliğin amacı, 1/7/1964 tarihli ve 488 sayılı Damga Vergisi Kanununun 14 üncü maddesinde yer alan azami tutarın ve Damga Vergisi Kanununa ekli (1) sayılı tabloda yer alan maktu vergilerin yeniden değerleme oranına göre belirlenerek tespit ve ilan edilmesidir.</w:t>
            </w:r>
          </w:p>
          <w:p w:rsidR="00142648" w:rsidRPr="00142648" w:rsidRDefault="00142648" w:rsidP="00142648">
            <w:pPr>
              <w:rPr>
                <w:lang w:val="tr-TR"/>
              </w:rPr>
            </w:pPr>
            <w:r w:rsidRPr="00142648">
              <w:rPr>
                <w:b/>
                <w:lang w:val="tr-TR"/>
              </w:rPr>
              <w:t>Dayanak</w:t>
            </w:r>
          </w:p>
          <w:p w:rsidR="00142648" w:rsidRPr="00142648" w:rsidRDefault="00142648" w:rsidP="00142648">
            <w:pPr>
              <w:rPr>
                <w:lang w:val="tr-TR"/>
              </w:rPr>
            </w:pPr>
            <w:r w:rsidRPr="00142648">
              <w:rPr>
                <w:b/>
                <w:lang w:val="tr-TR"/>
              </w:rPr>
              <w:t>MADDE 2 –</w:t>
            </w:r>
            <w:r w:rsidRPr="00142648">
              <w:rPr>
                <w:lang w:val="tr-TR"/>
              </w:rPr>
              <w:t xml:space="preserve"> (1) Bu Tebliğ, 488 sayılı Kanunun 14 üncü maddesinin birinci fıkrası ve mükerrer 30 uncu maddesinin birinci fıkrası hükümlerine dayanılarak hazırlanmıştır.</w:t>
            </w:r>
          </w:p>
          <w:p w:rsidR="00142648" w:rsidRPr="00142648" w:rsidRDefault="00142648" w:rsidP="00142648">
            <w:pPr>
              <w:rPr>
                <w:lang w:val="tr-TR"/>
              </w:rPr>
            </w:pPr>
            <w:r w:rsidRPr="00142648">
              <w:rPr>
                <w:b/>
                <w:lang w:val="tr-TR"/>
              </w:rPr>
              <w:t>Maktu damga vergisi tutarları ile azami tutarın belirlenmesi</w:t>
            </w:r>
          </w:p>
          <w:p w:rsidR="00142648" w:rsidRPr="00142648" w:rsidRDefault="00142648" w:rsidP="00142648">
            <w:pPr>
              <w:rPr>
                <w:lang w:val="tr-TR"/>
              </w:rPr>
            </w:pPr>
            <w:r w:rsidRPr="00142648">
              <w:rPr>
                <w:b/>
                <w:lang w:val="tr-TR"/>
              </w:rPr>
              <w:t>MADDE 3 –</w:t>
            </w:r>
            <w:r w:rsidRPr="00142648">
              <w:rPr>
                <w:lang w:val="tr-TR"/>
              </w:rPr>
              <w:t xml:space="preserve"> (1) Bakanlığımızca 2019 yılı için yeniden değerleme oranı % 22,58 (</w:t>
            </w:r>
            <w:proofErr w:type="spellStart"/>
            <w:r w:rsidRPr="00142648">
              <w:rPr>
                <w:lang w:val="tr-TR"/>
              </w:rPr>
              <w:t>yirmiiki</w:t>
            </w:r>
            <w:proofErr w:type="spellEnd"/>
            <w:r w:rsidRPr="00142648">
              <w:rPr>
                <w:lang w:val="tr-TR"/>
              </w:rPr>
              <w:t xml:space="preserve"> virgül </w:t>
            </w:r>
            <w:proofErr w:type="spellStart"/>
            <w:r w:rsidRPr="00142648">
              <w:rPr>
                <w:lang w:val="tr-TR"/>
              </w:rPr>
              <w:t>ellisekiz</w:t>
            </w:r>
            <w:proofErr w:type="spellEnd"/>
            <w:r w:rsidRPr="00142648">
              <w:rPr>
                <w:lang w:val="tr-TR"/>
              </w:rPr>
              <w:t xml:space="preserve">) olarak tespit edilmiş ve 23/12/2019 tarihli ve 30987 sayılı Resmî </w:t>
            </w:r>
            <w:proofErr w:type="spellStart"/>
            <w:r w:rsidRPr="00142648">
              <w:rPr>
                <w:lang w:val="tr-TR"/>
              </w:rPr>
              <w:t>Gazete’de</w:t>
            </w:r>
            <w:proofErr w:type="spellEnd"/>
            <w:r w:rsidRPr="00142648">
              <w:rPr>
                <w:lang w:val="tr-TR"/>
              </w:rPr>
              <w:t xml:space="preserve"> yayımlanan Vergi Usul Kanunu Genel Tebliği (Sıra No: 512) ile ilan edilmiş bulunmaktadır.</w:t>
            </w:r>
          </w:p>
          <w:p w:rsidR="00142648" w:rsidRPr="00142648" w:rsidRDefault="00142648" w:rsidP="00142648">
            <w:pPr>
              <w:rPr>
                <w:lang w:val="tr-TR"/>
              </w:rPr>
            </w:pPr>
            <w:r w:rsidRPr="00142648">
              <w:rPr>
                <w:lang w:val="tr-TR"/>
              </w:rPr>
              <w:t xml:space="preserve">(2) 488 sayılı Kanunun mükerrer 30 uncu maddesinin birinci fıkrası hükmü gereğince, Kanuna ekli (1) sayılı tabloda yer alan ve 63 Seri </w:t>
            </w:r>
            <w:proofErr w:type="spellStart"/>
            <w:r w:rsidRPr="00142648">
              <w:rPr>
                <w:lang w:val="tr-TR"/>
              </w:rPr>
              <w:t>No’lu</w:t>
            </w:r>
            <w:proofErr w:type="spellEnd"/>
            <w:r w:rsidRPr="00142648">
              <w:rPr>
                <w:lang w:val="tr-TR"/>
              </w:rPr>
              <w:t xml:space="preserve"> Damga Vergisi Kanunu Genel Tebliği ile tespit edilen maktu vergiler, (maktu ve nispi vergilerin asgari ve azami miktarlarını belirleyen hadler </w:t>
            </w:r>
            <w:proofErr w:type="gramStart"/>
            <w:r w:rsidRPr="00142648">
              <w:rPr>
                <w:lang w:val="tr-TR"/>
              </w:rPr>
              <w:t>dahil</w:t>
            </w:r>
            <w:proofErr w:type="gramEnd"/>
            <w:r w:rsidRPr="00142648">
              <w:rPr>
                <w:lang w:val="tr-TR"/>
              </w:rPr>
              <w:t>), yeniden değerleme oranında artırılmış ve 1/1/2020 tarihinden itibaren uygulanacak miktarları Tebliğ ekindeki (1) sayılı tabloda gösterilmiştir.</w:t>
            </w:r>
          </w:p>
          <w:p w:rsidR="00142648" w:rsidRPr="00142648" w:rsidRDefault="00142648" w:rsidP="00142648">
            <w:pPr>
              <w:rPr>
                <w:lang w:val="tr-TR"/>
              </w:rPr>
            </w:pPr>
            <w:r w:rsidRPr="00142648">
              <w:rPr>
                <w:lang w:val="tr-TR"/>
              </w:rPr>
              <w:t xml:space="preserve">(3) 488 sayılı Kanunun 14 üncü maddesinin birinci fıkrasında yer alan her bir </w:t>
            </w:r>
            <w:proofErr w:type="gramStart"/>
            <w:r w:rsidRPr="00142648">
              <w:rPr>
                <w:lang w:val="tr-TR"/>
              </w:rPr>
              <w:t>kağıttan</w:t>
            </w:r>
            <w:proofErr w:type="gramEnd"/>
            <w:r w:rsidRPr="00142648">
              <w:rPr>
                <w:lang w:val="tr-TR"/>
              </w:rPr>
              <w:t xml:space="preserve"> alınacak damga vergisine ilişkin üst sınır yeniden değerleme oranında artırılmış ve 1/1/2020 tarihinden itibaren 3.239.556,40 Türk Lirası olmuştur.</w:t>
            </w:r>
          </w:p>
          <w:p w:rsidR="00142648" w:rsidRPr="00142648" w:rsidRDefault="00142648" w:rsidP="00142648">
            <w:pPr>
              <w:rPr>
                <w:lang w:val="tr-TR"/>
              </w:rPr>
            </w:pPr>
            <w:r w:rsidRPr="00142648">
              <w:rPr>
                <w:b/>
                <w:lang w:val="tr-TR"/>
              </w:rPr>
              <w:t>Yürürlük</w:t>
            </w:r>
          </w:p>
          <w:p w:rsidR="00142648" w:rsidRPr="00142648" w:rsidRDefault="00142648" w:rsidP="00142648">
            <w:pPr>
              <w:rPr>
                <w:lang w:val="tr-TR"/>
              </w:rPr>
            </w:pPr>
            <w:r w:rsidRPr="00142648">
              <w:rPr>
                <w:b/>
                <w:lang w:val="tr-TR"/>
              </w:rPr>
              <w:t>MADDE 4 –</w:t>
            </w:r>
            <w:r w:rsidRPr="00142648">
              <w:rPr>
                <w:lang w:val="tr-TR"/>
              </w:rPr>
              <w:t xml:space="preserve"> (1) Bu Tebliğ 1/1/2020 tarihinde yürürlüğe girer.</w:t>
            </w:r>
          </w:p>
          <w:p w:rsidR="00142648" w:rsidRPr="00142648" w:rsidRDefault="00142648" w:rsidP="00142648">
            <w:pPr>
              <w:rPr>
                <w:lang w:val="tr-TR"/>
              </w:rPr>
            </w:pPr>
            <w:r w:rsidRPr="00142648">
              <w:rPr>
                <w:b/>
                <w:lang w:val="tr-TR"/>
              </w:rPr>
              <w:t>Yürütme</w:t>
            </w:r>
          </w:p>
          <w:p w:rsidR="00142648" w:rsidRPr="00142648" w:rsidRDefault="00142648" w:rsidP="00142648">
            <w:pPr>
              <w:rPr>
                <w:lang w:val="tr-TR"/>
              </w:rPr>
            </w:pPr>
            <w:r w:rsidRPr="00142648">
              <w:rPr>
                <w:b/>
                <w:lang w:val="tr-TR"/>
              </w:rPr>
              <w:t>MADDE 5 –</w:t>
            </w:r>
            <w:r w:rsidRPr="00142648">
              <w:rPr>
                <w:lang w:val="tr-TR"/>
              </w:rPr>
              <w:t xml:space="preserve"> (1) Bu Tebliğ hükümlerini Hazine ve Maliye Bakanı yürütür.</w:t>
            </w:r>
          </w:p>
        </w:tc>
      </w:tr>
    </w:tbl>
    <w:p w:rsidR="00CB44B3" w:rsidRDefault="00CB44B3"/>
    <w:p w:rsidR="00142648" w:rsidRDefault="00142648"/>
    <w:p w:rsidR="00142648" w:rsidRDefault="00142648"/>
    <w:p w:rsidR="00142648" w:rsidRDefault="00142648"/>
    <w:p w:rsidR="00142648" w:rsidRDefault="00142648">
      <w:r>
        <w:br w:type="page"/>
      </w:r>
    </w:p>
    <w:p w:rsidR="00142648" w:rsidRPr="00142648" w:rsidRDefault="00142648" w:rsidP="00142648">
      <w:pPr>
        <w:rPr>
          <w:b/>
          <w:bCs/>
          <w:lang w:val="tr-TR"/>
        </w:rPr>
      </w:pPr>
      <w:r w:rsidRPr="00142648">
        <w:rPr>
          <w:b/>
          <w:bCs/>
          <w:lang w:val="tr-TR"/>
        </w:rPr>
        <w:lastRenderedPageBreak/>
        <w:t>) Her bir kâğıt için hesaplanacak azami damga vergisi tutarı</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3"/>
        <w:gridCol w:w="2561"/>
        <w:gridCol w:w="5122"/>
      </w:tblGrid>
      <w:tr w:rsidR="00142648" w:rsidRPr="00142648" w:rsidTr="00142648">
        <w:trPr>
          <w:tblCellSpacing w:w="0" w:type="dxa"/>
        </w:trPr>
        <w:tc>
          <w:tcPr>
            <w:tcW w:w="758" w:type="pct"/>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b/>
                <w:bCs/>
                <w:lang w:val="tr-TR"/>
              </w:rPr>
              <w:t>Yıl</w:t>
            </w:r>
          </w:p>
        </w:tc>
        <w:tc>
          <w:tcPr>
            <w:tcW w:w="1414" w:type="pct"/>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b/>
                <w:bCs/>
                <w:lang w:val="tr-TR"/>
              </w:rPr>
              <w:t>Tutar (TL)</w:t>
            </w:r>
          </w:p>
        </w:tc>
        <w:tc>
          <w:tcPr>
            <w:tcW w:w="2828" w:type="pct"/>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b/>
                <w:bCs/>
                <w:lang w:val="tr-TR"/>
              </w:rPr>
              <w:t>BKK / Genel Tebliğ</w:t>
            </w:r>
          </w:p>
        </w:tc>
      </w:tr>
      <w:tr w:rsidR="00142648" w:rsidRPr="00142648" w:rsidTr="00142648">
        <w:trPr>
          <w:tblCellSpacing w:w="0" w:type="dxa"/>
        </w:trPr>
        <w:tc>
          <w:tcPr>
            <w:tcW w:w="758" w:type="pct"/>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2018</w:t>
            </w:r>
          </w:p>
        </w:tc>
        <w:tc>
          <w:tcPr>
            <w:tcW w:w="1414" w:type="pct"/>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2.135.949,30</w:t>
            </w:r>
          </w:p>
        </w:tc>
        <w:tc>
          <w:tcPr>
            <w:tcW w:w="2828" w:type="pct"/>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Damga Vergisi Kanunu Genel Tebliği Seri No: 62</w:t>
            </w:r>
          </w:p>
        </w:tc>
      </w:tr>
      <w:tr w:rsidR="00142648" w:rsidRPr="00142648" w:rsidTr="00142648">
        <w:trPr>
          <w:tblCellSpacing w:w="0" w:type="dxa"/>
        </w:trPr>
        <w:tc>
          <w:tcPr>
            <w:tcW w:w="758" w:type="pct"/>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2019</w:t>
            </w:r>
          </w:p>
        </w:tc>
        <w:tc>
          <w:tcPr>
            <w:tcW w:w="1414" w:type="pct"/>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2.642.810,00</w:t>
            </w:r>
          </w:p>
        </w:tc>
        <w:tc>
          <w:tcPr>
            <w:tcW w:w="2828" w:type="pct"/>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Damga Vergisi Kanunu Genel Tebliği Seri No: 63</w:t>
            </w:r>
          </w:p>
        </w:tc>
      </w:tr>
      <w:tr w:rsidR="00142648" w:rsidRPr="00142648" w:rsidTr="00142648">
        <w:trPr>
          <w:tblCellSpacing w:w="0" w:type="dxa"/>
        </w:trPr>
        <w:tc>
          <w:tcPr>
            <w:tcW w:w="758" w:type="pct"/>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2020</w:t>
            </w:r>
          </w:p>
        </w:tc>
        <w:tc>
          <w:tcPr>
            <w:tcW w:w="1414" w:type="pct"/>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3.239.556,40</w:t>
            </w:r>
          </w:p>
        </w:tc>
        <w:tc>
          <w:tcPr>
            <w:tcW w:w="2828" w:type="pct"/>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Damga Vergisi Kanunu Genel Tebliği Seri No: 64</w:t>
            </w:r>
          </w:p>
        </w:tc>
      </w:tr>
    </w:tbl>
    <w:p w:rsidR="00142648" w:rsidRDefault="00142648" w:rsidP="00142648">
      <w:pPr>
        <w:rPr>
          <w:b/>
          <w:bCs/>
          <w:lang w:val="tr-TR"/>
        </w:rPr>
      </w:pPr>
      <w:r w:rsidRPr="00142648">
        <w:rPr>
          <w:b/>
          <w:bCs/>
          <w:lang w:val="tr-TR"/>
        </w:rPr>
        <w:t>b) 2020 yılı damga vergisi oran ve tutarları</w:t>
      </w:r>
    </w:p>
    <w:p w:rsidR="00142648" w:rsidRPr="00142648" w:rsidRDefault="00142648" w:rsidP="00142648">
      <w:pPr>
        <w:rPr>
          <w:b/>
          <w:bCs/>
          <w:lang w:val="tr-T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59"/>
        <w:gridCol w:w="1897"/>
      </w:tblGrid>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jc w:val="center"/>
              <w:rPr>
                <w:lang w:val="tr-TR"/>
              </w:rPr>
            </w:pPr>
            <w:r w:rsidRPr="00142648">
              <w:rPr>
                <w:b/>
                <w:bCs/>
                <w:lang w:val="tr-TR"/>
              </w:rPr>
              <w:t>(1) SAYILI TABLO</w:t>
            </w:r>
          </w:p>
          <w:p w:rsidR="00142648" w:rsidRPr="00142648" w:rsidRDefault="00142648" w:rsidP="00142648">
            <w:pPr>
              <w:jc w:val="center"/>
              <w:rPr>
                <w:lang w:val="tr-TR"/>
              </w:rPr>
            </w:pPr>
            <w:r w:rsidRPr="00142648">
              <w:rPr>
                <w:b/>
                <w:bCs/>
                <w:lang w:val="tr-TR"/>
              </w:rPr>
              <w:t>Damga Vergisine Tabi Kâğıtlar</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I. Akitlerle ilgili kâğıtlar</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A. Belli parayı ihtiva eden kâğıtlar:</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   Mukavelenameler, taahhütnameler ve temliknameler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2. Kira mukavelenameleri (Mukavele süresine göre kira bedeli üzerinden)</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1,89</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 xml:space="preserve">3. Kefalet, teminat ve rehin senetleri </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 xml:space="preserve">4. </w:t>
            </w:r>
            <w:proofErr w:type="spellStart"/>
            <w:r w:rsidRPr="00142648">
              <w:rPr>
                <w:lang w:val="tr-TR"/>
              </w:rPr>
              <w:t>Tahkimnameler</w:t>
            </w:r>
            <w:proofErr w:type="spellEnd"/>
            <w:r w:rsidRPr="00142648">
              <w:rPr>
                <w:lang w:val="tr-TR"/>
              </w:rPr>
              <w:t xml:space="preserve"> ve </w:t>
            </w:r>
            <w:proofErr w:type="spellStart"/>
            <w:r w:rsidRPr="00142648">
              <w:rPr>
                <w:lang w:val="tr-TR"/>
              </w:rPr>
              <w:t>sulhnameler</w:t>
            </w:r>
            <w:proofErr w:type="spellEnd"/>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 xml:space="preserve">5. </w:t>
            </w:r>
            <w:proofErr w:type="spellStart"/>
            <w:r w:rsidRPr="00142648">
              <w:rPr>
                <w:lang w:val="tr-TR"/>
              </w:rPr>
              <w:t>Fesihnameler</w:t>
            </w:r>
            <w:proofErr w:type="spellEnd"/>
            <w:r w:rsidRPr="00142648">
              <w:rPr>
                <w:lang w:val="tr-TR"/>
              </w:rPr>
              <w:t xml:space="preserve"> (Belli parayı ihtiva eden bir kâğıda taalluk edenler dâhil)</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1,89</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 xml:space="preserve">6. Karayolları Trafik Kanunu uyarınca kayıt ve tescil edilmiş ikinci el araçların satış ve devrine ilişkin sözleşmeleri </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1,89</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 xml:space="preserve">7.   Hazinenin özel mülkiyetinde veya Devletin hüküm ve tasarrufu altında bulunan taşınmazlara ilişkin ön izin, irtifak hakkı veya kullanma izni sözleşmeleri (yatırım taahhüdü bulunanlar </w:t>
            </w:r>
            <w:proofErr w:type="gramStart"/>
            <w:r w:rsidRPr="00142648">
              <w:rPr>
                <w:lang w:val="tr-TR"/>
              </w:rPr>
              <w:t>dahil</w:t>
            </w:r>
            <w:proofErr w:type="gramEnd"/>
            <w:r w:rsidRPr="00142648">
              <w:rPr>
                <w:lang w:val="tr-TR"/>
              </w:rPr>
              <w:t xml:space="preserve"> ön izin, irtifak hakkı veya kullanma izni süresine göre bulunacak bedel üzerinden)</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 xml:space="preserve">8.  Resmi şekilde düzenlenen gayrimenkul satış vaadi sözleşmeleri </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0,00</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9.  Resmi dairelerin mal ve hizmet alımlarına ilişkin yaptıkları ihalelerde, ihaleyi yapan idare ile düzenlenen sözleşmeler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10. 07.11.2013 tarihli ve 6502 sayılı Tüketicinin Korunması Hakkında Kanun kapsamında düzenlenen</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a)  Taksitle satış sözleşmeleri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 Ön ödemeli konut satış sözleşmeleri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0,00</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c) Devre tatil ve uzun süreli tatil hizmeti sözleşmeleri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ç) Paket tur sözleşmeleri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lastRenderedPageBreak/>
              <w:t>d) Abonelik sözleşmeleri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e) Mesafeli satış sözleşmeleri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11. 07.06.2012 tarihli ve 6326 sayılı Turist Rehberliği Meslek kanunu kapsamında düzenlenen turist rehberliğine ilişkin sözleşmeler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12. 14.03.2013 tarihli ve 6446 sayılı Elektrik Piyasası Kanunu kapsamında düzenlenen</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a) Toptan elektrik satış sözleşmeleri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 Perakende elektrik satış sözleşmeleri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13. 18.04.2001 tarihli ve 4646 sayılı Doğalgaz Piyasası Kanunu kapsamında düzenlenen</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a) Toptan doğal gaz satışına ilişkin sözleşmeler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 Tüketicilere doğal gaz satışına ilişkin sözleşmeler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14. Resmi şekilde düzenlenen kat karşılığı veya hasılat paylaşımı inşaat sözleşmeleri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0,00</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 xml:space="preserve">15. Resmi şekilde düzenlenen kat karşılığı veya hasılat paylaşımı inşaat sözleşmeleri kapsamında yapı </w:t>
            </w:r>
            <w:proofErr w:type="gramStart"/>
            <w:r w:rsidRPr="00142648">
              <w:rPr>
                <w:lang w:val="tr-TR"/>
              </w:rPr>
              <w:t>müteahhitleri</w:t>
            </w:r>
            <w:proofErr w:type="gramEnd"/>
            <w:r w:rsidRPr="00142648">
              <w:rPr>
                <w:lang w:val="tr-TR"/>
              </w:rPr>
              <w:t xml:space="preserve"> ile alt yükleniciler arasında düzenlenen inşaat taahhüt sözleşmeleri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0,00</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16. Kat karşılığı veya hasılat paylaşımı inşaat işlerine ilişkin danışmanlık hizmet sözleşmeleri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0,00</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17. Yapı denetimi hizmet sözleşmeleri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0,00</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 Belli parayı ihtiva etmeyen kâğıtlar:</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 xml:space="preserve">1.   </w:t>
            </w:r>
            <w:proofErr w:type="spellStart"/>
            <w:r w:rsidRPr="00142648">
              <w:rPr>
                <w:lang w:val="tr-TR"/>
              </w:rPr>
              <w:t>Tahkimnameler</w:t>
            </w:r>
            <w:proofErr w:type="spellEnd"/>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89,10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 xml:space="preserve">2. </w:t>
            </w:r>
            <w:proofErr w:type="spellStart"/>
            <w:r w:rsidRPr="00142648">
              <w:rPr>
                <w:lang w:val="tr-TR"/>
              </w:rPr>
              <w:t>Sulhnameler</w:t>
            </w:r>
            <w:proofErr w:type="spellEnd"/>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89,10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3.  Turizm işletmeleri ile seyahat acentelerinin aralarında düzenledikleri kontenjan sözleşmeleri (Belli parayı ihtiva edenler dâhil)</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500,80 TL</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II. Kararlar ve mazbatalar</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  Meclislerden, resmi heyetlerden ve idari davalarla ilgili olmayarak Danıştay’dan verilen mazbata, ilam ve kararlarla hakem kararları</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a)  Belli parayı ihtiva edenler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  Belli parayı ihtiva etmeyenler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89,10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 xml:space="preserve">2. İhale kanunlarına tabi olan veya olmayan resmi daire ve kamu tüzel kişiliğini haiz kurumların her türlü ihale kararları </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5,69</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lastRenderedPageBreak/>
              <w:t>III. Ticari işlemlerde kullanılan kâğıtlar</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   Ticari ve mütedavil senetler</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a) Emtia senetleri</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proofErr w:type="spellStart"/>
            <w:r w:rsidRPr="00142648">
              <w:rPr>
                <w:lang w:val="tr-TR"/>
              </w:rPr>
              <w:t>aa</w:t>
            </w:r>
            <w:proofErr w:type="spellEnd"/>
            <w:r w:rsidRPr="00142648">
              <w:rPr>
                <w:lang w:val="tr-TR"/>
              </w:rPr>
              <w:t>) Makbuz senedi (</w:t>
            </w:r>
            <w:proofErr w:type="spellStart"/>
            <w:r w:rsidRPr="00142648">
              <w:rPr>
                <w:lang w:val="tr-TR"/>
              </w:rPr>
              <w:t>Resepise</w:t>
            </w:r>
            <w:proofErr w:type="spellEnd"/>
            <w:r w:rsidRPr="00142648">
              <w:rPr>
                <w:lang w:val="tr-TR"/>
              </w:rPr>
              <w:t>)</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30,70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ab) Rehin senedi (</w:t>
            </w:r>
            <w:proofErr w:type="spellStart"/>
            <w:r w:rsidRPr="00142648">
              <w:rPr>
                <w:lang w:val="tr-TR"/>
              </w:rPr>
              <w:t>Varant</w:t>
            </w:r>
            <w:proofErr w:type="spellEnd"/>
            <w:r w:rsidRPr="00142648">
              <w:rPr>
                <w:lang w:val="tr-TR"/>
              </w:rPr>
              <w:t>)</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18,10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proofErr w:type="spellStart"/>
            <w:r w:rsidRPr="00142648">
              <w:rPr>
                <w:lang w:val="tr-TR"/>
              </w:rPr>
              <w:t>ac</w:t>
            </w:r>
            <w:proofErr w:type="spellEnd"/>
            <w:r w:rsidRPr="00142648">
              <w:rPr>
                <w:lang w:val="tr-TR"/>
              </w:rPr>
              <w:t xml:space="preserve">) </w:t>
            </w:r>
            <w:proofErr w:type="spellStart"/>
            <w:r w:rsidRPr="00142648">
              <w:rPr>
                <w:lang w:val="tr-TR"/>
              </w:rPr>
              <w:t>İyda</w:t>
            </w:r>
            <w:proofErr w:type="spellEnd"/>
            <w:r w:rsidRPr="00142648">
              <w:rPr>
                <w:lang w:val="tr-TR"/>
              </w:rPr>
              <w:t xml:space="preserve"> senedi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2,90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ad) Taşıma senedi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0,80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 Konşimentolar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18,10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c) Deniz ödüncü senedi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d) İpotekli borç senedi, irat senedi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2. Ticari belgeler</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a)  Menşe ve Mahreç şahadetnameleri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30,70 TL</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  Resmi dairelere ve bankalara ibraz edilen bilançolar ve işletme hesabı özetleri</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proofErr w:type="spellStart"/>
            <w:r w:rsidRPr="00142648">
              <w:rPr>
                <w:lang w:val="tr-TR"/>
              </w:rPr>
              <w:t>ba</w:t>
            </w:r>
            <w:proofErr w:type="spellEnd"/>
            <w:r w:rsidRPr="00142648">
              <w:rPr>
                <w:lang w:val="tr-TR"/>
              </w:rPr>
              <w:t>) Bilançolar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68,70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proofErr w:type="spellStart"/>
            <w:r w:rsidRPr="00142648">
              <w:rPr>
                <w:lang w:val="tr-TR"/>
              </w:rPr>
              <w:t>bb</w:t>
            </w:r>
            <w:proofErr w:type="spellEnd"/>
            <w:r w:rsidRPr="00142648">
              <w:rPr>
                <w:lang w:val="tr-TR"/>
              </w:rPr>
              <w:t>) Gelir tabloları</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32,90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proofErr w:type="spellStart"/>
            <w:r w:rsidRPr="00142648">
              <w:rPr>
                <w:lang w:val="tr-TR"/>
              </w:rPr>
              <w:t>bc</w:t>
            </w:r>
            <w:proofErr w:type="spellEnd"/>
            <w:r w:rsidRPr="00142648">
              <w:rPr>
                <w:lang w:val="tr-TR"/>
              </w:rPr>
              <w:t>) İşletme hesabı özetleri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32,90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 xml:space="preserve">c)  </w:t>
            </w:r>
            <w:proofErr w:type="spellStart"/>
            <w:r w:rsidRPr="00142648">
              <w:rPr>
                <w:lang w:val="tr-TR"/>
              </w:rPr>
              <w:t>Barnameler</w:t>
            </w:r>
            <w:proofErr w:type="spellEnd"/>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2,90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d)  Tasdikli manifesto nüshaları</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13,40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e)  Ordinolar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0,80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f)   Gümrük idarelerine verilen özet beyan formları</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13,40 TL</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IV. Makbuzlar ve diğer kâğıtlar</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 Makbuzlar</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 xml:space="preserve">a) Resmi daireler tarafından yapılan mal ve hizmet alımlarına ilişkin ödemeler (avans olarak yapılanlar </w:t>
            </w:r>
            <w:proofErr w:type="gramStart"/>
            <w:r w:rsidRPr="00142648">
              <w:rPr>
                <w:lang w:val="tr-TR"/>
              </w:rPr>
              <w:t>dahil</w:t>
            </w:r>
            <w:proofErr w:type="gramEnd"/>
            <w:r w:rsidRPr="00142648">
              <w:rPr>
                <w:lang w:val="tr-TR"/>
              </w:rPr>
              <w:t>) nedeniyle, kişiler tarafından resmi dairelere verilen ve belli parayı ihtiva eden makbuz ve ibra senetleri ile bu ödemelerin resmi daireler nam ve hesabına, kişiler adına açılmış veya açılacak hesaplara nakledilmesini veya emir ve havalelerine tediyesini temin eden kağıtlar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9,48</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 xml:space="preserve">b) Maaş, ücret, gündelik, huzur hakkı, aidat, ihtisas zammı, ikramiye, yemek ve mesken bedeli, harcırah, tazminat ve benzeri her ne adla olursa olsun hizmet </w:t>
            </w:r>
            <w:r w:rsidRPr="00142648">
              <w:rPr>
                <w:lang w:val="tr-TR"/>
              </w:rPr>
              <w:lastRenderedPageBreak/>
              <w:t xml:space="preserve">karşılığı alınan paralar (avans olarak ödenenler </w:t>
            </w:r>
            <w:proofErr w:type="gramStart"/>
            <w:r w:rsidRPr="00142648">
              <w:rPr>
                <w:lang w:val="tr-TR"/>
              </w:rPr>
              <w:t>dahil</w:t>
            </w:r>
            <w:proofErr w:type="gramEnd"/>
            <w:r w:rsidRPr="00142648">
              <w:rPr>
                <w:lang w:val="tr-TR"/>
              </w:rPr>
              <w:t>) için verilen makbuzlar ile bu paraların nakden ödenmeyerek kişiler adına açılmış veya açılacak cari hesaplara nakledildiği veya emir ve havalelerine tediye olunduğu takdirde nakli veya tediyeyi temin eden kağıtlar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lastRenderedPageBreak/>
              <w:t>Binde 7,59</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lastRenderedPageBreak/>
              <w:t>c)  Ödünç alınan paralar için verilen makbuzlar veya bu mahiyetteki senetler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7,59</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d)  İcra dairelerince resmi daireler namına şahıslara ödenen paralar için düzenlenen makbuzlar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Binde 7,59</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2.  Beyannameler (Bu beyannamelerin sadece bir nüshası vergiye tabidir):</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a)  Yabancı memleketlerden gelen posta gönderilerinin gümrüklenmesi için postanelerce gümrüklere verilen liste beyannamelerde yazılı her gönderi maddesi için</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0,80 TL</w:t>
            </w:r>
          </w:p>
        </w:tc>
      </w:tr>
      <w:tr w:rsidR="00142648" w:rsidRPr="00142648" w:rsidTr="00142648">
        <w:trPr>
          <w:tblCellSpacing w:w="0" w:type="dxa"/>
        </w:trPr>
        <w:tc>
          <w:tcPr>
            <w:tcW w:w="9330" w:type="dxa"/>
            <w:gridSpan w:val="2"/>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 xml:space="preserve">b) Vergi beyannameleri ((f) bendi </w:t>
            </w:r>
            <w:proofErr w:type="gramStart"/>
            <w:r w:rsidRPr="00142648">
              <w:rPr>
                <w:lang w:val="tr-TR"/>
              </w:rPr>
              <w:t>dahil</w:t>
            </w:r>
            <w:proofErr w:type="gramEnd"/>
            <w:r w:rsidRPr="00142648">
              <w:rPr>
                <w:lang w:val="tr-TR"/>
              </w:rPr>
              <w:t xml:space="preserve"> olmak üzere, beyanname verme süresi içerisinde düzeltme amacıyla verilen beyannameler hariç)</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proofErr w:type="spellStart"/>
            <w:r w:rsidRPr="00142648">
              <w:rPr>
                <w:lang w:val="tr-TR"/>
              </w:rPr>
              <w:t>ba</w:t>
            </w:r>
            <w:proofErr w:type="spellEnd"/>
            <w:r w:rsidRPr="00142648">
              <w:rPr>
                <w:lang w:val="tr-TR"/>
              </w:rPr>
              <w:t>) Yıllık gelir vergisi beyannameleri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89,10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proofErr w:type="spellStart"/>
            <w:r w:rsidRPr="00142648">
              <w:rPr>
                <w:lang w:val="tr-TR"/>
              </w:rPr>
              <w:t>bb</w:t>
            </w:r>
            <w:proofErr w:type="spellEnd"/>
            <w:r w:rsidRPr="00142648">
              <w:rPr>
                <w:lang w:val="tr-TR"/>
              </w:rPr>
              <w:t>) Kurumlar vergisi beyannameleri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119,00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proofErr w:type="spellStart"/>
            <w:r w:rsidRPr="00142648">
              <w:rPr>
                <w:lang w:val="tr-TR"/>
              </w:rPr>
              <w:t>bc</w:t>
            </w:r>
            <w:proofErr w:type="spellEnd"/>
            <w:r w:rsidRPr="00142648">
              <w:rPr>
                <w:lang w:val="tr-TR"/>
              </w:rPr>
              <w:t>) Katma değer vergisi beyannameleri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58,80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proofErr w:type="spellStart"/>
            <w:r w:rsidRPr="00142648">
              <w:rPr>
                <w:lang w:val="tr-TR"/>
              </w:rPr>
              <w:t>bd</w:t>
            </w:r>
            <w:proofErr w:type="spellEnd"/>
            <w:r w:rsidRPr="00142648">
              <w:rPr>
                <w:lang w:val="tr-TR"/>
              </w:rPr>
              <w:t>) Muhtasar beyannameler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58,80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be) Diğer vergi beyannameleri (damga vergisi beyannameleri hariç)</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58,80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c) Gümrük idarelerine verilen beyannameler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119,00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d) Belediye ve il özel idarelerine verilen beyannameler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43,70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e) Sosyal güvenlik kurumlarına verilen sigorta prim bildirgeleri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43,70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f)   31.05.2006 tarihli ve 5510 sayılı Sosyal Sigortalar ve Genel Sağlık Sigortası kanunu uyarınca verilmesi gereken aylık prim ve hizmet belgesi ile muhtasar beyannamenin birleştirilerek verilmesiyle oluşturulan beyannameler</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69,70 TL</w:t>
            </w:r>
          </w:p>
        </w:tc>
      </w:tr>
      <w:tr w:rsidR="00142648" w:rsidRPr="00142648" w:rsidTr="00142648">
        <w:trPr>
          <w:tblCellSpacing w:w="0" w:type="dxa"/>
        </w:trPr>
        <w:tc>
          <w:tcPr>
            <w:tcW w:w="738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3. Tabloda yazılı kâğıtlardan aslı 1,00 Türk Lirasından fazla maktu ve nispi vergiye tabi olanların resmi dairelere ibraz edilecek özet, suret ve tercümeleri</w:t>
            </w:r>
          </w:p>
        </w:tc>
        <w:tc>
          <w:tcPr>
            <w:tcW w:w="1950" w:type="dxa"/>
            <w:tcBorders>
              <w:top w:val="outset" w:sz="6" w:space="0" w:color="auto"/>
              <w:left w:val="outset" w:sz="6" w:space="0" w:color="auto"/>
              <w:bottom w:val="outset" w:sz="6" w:space="0" w:color="auto"/>
              <w:right w:val="outset" w:sz="6" w:space="0" w:color="auto"/>
            </w:tcBorders>
            <w:vAlign w:val="center"/>
            <w:hideMark/>
          </w:tcPr>
          <w:p w:rsidR="00142648" w:rsidRPr="00142648" w:rsidRDefault="00142648" w:rsidP="00142648">
            <w:pPr>
              <w:rPr>
                <w:lang w:val="tr-TR"/>
              </w:rPr>
            </w:pPr>
            <w:r w:rsidRPr="00142648">
              <w:rPr>
                <w:lang w:val="tr-TR"/>
              </w:rPr>
              <w:t>0,80 TL</w:t>
            </w:r>
          </w:p>
        </w:tc>
      </w:tr>
    </w:tbl>
    <w:p w:rsidR="00142648" w:rsidRPr="00142648" w:rsidRDefault="00142648" w:rsidP="00142648">
      <w:pPr>
        <w:rPr>
          <w:lang w:val="tr-TR"/>
        </w:rPr>
      </w:pPr>
      <w:r w:rsidRPr="00142648">
        <w:rPr>
          <w:b/>
          <w:bCs/>
          <w:lang w:val="tr-TR"/>
        </w:rPr>
        <w:t xml:space="preserve">Not: </w:t>
      </w:r>
      <w:r w:rsidRPr="00142648">
        <w:rPr>
          <w:lang w:val="tr-TR"/>
        </w:rPr>
        <w:t xml:space="preserve">Damga Vergisi Kanunu 1. maddesinde yer alan Damga Vergisine Tabii </w:t>
      </w:r>
      <w:proofErr w:type="gramStart"/>
      <w:r w:rsidRPr="00142648">
        <w:rPr>
          <w:lang w:val="tr-TR"/>
        </w:rPr>
        <w:t>kağıtların</w:t>
      </w:r>
      <w:proofErr w:type="gramEnd"/>
      <w:r w:rsidRPr="00142648">
        <w:rPr>
          <w:lang w:val="tr-TR"/>
        </w:rPr>
        <w:t xml:space="preserve"> 2020 yılı için maktu tutarları ve nispi oranları 64 seri </w:t>
      </w:r>
      <w:proofErr w:type="spellStart"/>
      <w:r w:rsidRPr="00142648">
        <w:rPr>
          <w:lang w:val="tr-TR"/>
        </w:rPr>
        <w:t>no’lu</w:t>
      </w:r>
      <w:proofErr w:type="spellEnd"/>
      <w:r w:rsidRPr="00142648">
        <w:rPr>
          <w:lang w:val="tr-TR"/>
        </w:rPr>
        <w:t xml:space="preserve"> Damga Vergisi Kanunu Genel Tebliği ile duyurulmuştur.</w:t>
      </w:r>
    </w:p>
    <w:p w:rsidR="00142648" w:rsidRDefault="00142648"/>
    <w:sectPr w:rsidR="00142648" w:rsidSect="00614D89">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5688F"/>
    <w:multiLevelType w:val="hybridMultilevel"/>
    <w:tmpl w:val="6C78BE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32"/>
    <w:rsid w:val="00142648"/>
    <w:rsid w:val="00600B32"/>
    <w:rsid w:val="00614D89"/>
    <w:rsid w:val="00C26D3E"/>
    <w:rsid w:val="00CB44B3"/>
    <w:rsid w:val="00F064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29C16-1DB1-4753-A7E0-183E343D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D3E"/>
    <w:pPr>
      <w:spacing w:before="120" w:after="120"/>
    </w:pPr>
    <w:rPr>
      <w:rFonts w:ascii="Arial" w:hAnsi="Arial"/>
      <w:snapToGrid w:val="0"/>
      <w:lang w:val="sv-SE"/>
    </w:rPr>
  </w:style>
  <w:style w:type="paragraph" w:styleId="Balk1">
    <w:name w:val="heading 1"/>
    <w:basedOn w:val="Normal"/>
    <w:next w:val="Normal"/>
    <w:link w:val="Balk1Char"/>
    <w:qFormat/>
    <w:rsid w:val="00C26D3E"/>
    <w:pPr>
      <w:keepNext/>
      <w:tabs>
        <w:tab w:val="right" w:pos="567"/>
      </w:tabs>
      <w:spacing w:before="240" w:after="240"/>
      <w:ind w:left="720" w:hanging="360"/>
      <w:jc w:val="both"/>
      <w:outlineLvl w:val="0"/>
    </w:pPr>
    <w:rPr>
      <w:b/>
      <w:lang w:val="fr-BE"/>
    </w:rPr>
  </w:style>
  <w:style w:type="paragraph" w:styleId="Balk2">
    <w:name w:val="heading 2"/>
    <w:basedOn w:val="Normal"/>
    <w:next w:val="Normal"/>
    <w:link w:val="Balk2Char"/>
    <w:qFormat/>
    <w:rsid w:val="00C26D3E"/>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26D3E"/>
    <w:rPr>
      <w:rFonts w:ascii="Arial" w:hAnsi="Arial"/>
      <w:b/>
      <w:snapToGrid w:val="0"/>
      <w:lang w:val="fr-BE"/>
    </w:rPr>
  </w:style>
  <w:style w:type="character" w:customStyle="1" w:styleId="Balk2Char">
    <w:name w:val="Başlık 2 Char"/>
    <w:link w:val="Balk2"/>
    <w:rsid w:val="00C26D3E"/>
    <w:rPr>
      <w:rFonts w:ascii="Cambria" w:hAnsi="Cambria"/>
      <w:b/>
      <w:bCs/>
      <w:i/>
      <w:iCs/>
      <w:snapToGrid w:val="0"/>
      <w:sz w:val="28"/>
      <w:szCs w:val="28"/>
      <w:lang w:val="sv-SE"/>
    </w:rPr>
  </w:style>
  <w:style w:type="character" w:styleId="Gl">
    <w:name w:val="Strong"/>
    <w:qFormat/>
    <w:rsid w:val="00C26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729211">
      <w:bodyDiv w:val="1"/>
      <w:marLeft w:val="0"/>
      <w:marRight w:val="0"/>
      <w:marTop w:val="0"/>
      <w:marBottom w:val="0"/>
      <w:divBdr>
        <w:top w:val="none" w:sz="0" w:space="0" w:color="auto"/>
        <w:left w:val="none" w:sz="0" w:space="0" w:color="auto"/>
        <w:bottom w:val="none" w:sz="0" w:space="0" w:color="auto"/>
        <w:right w:val="none" w:sz="0" w:space="0" w:color="auto"/>
      </w:divBdr>
    </w:div>
    <w:div w:id="2012482622">
      <w:bodyDiv w:val="1"/>
      <w:marLeft w:val="0"/>
      <w:marRight w:val="0"/>
      <w:marTop w:val="0"/>
      <w:marBottom w:val="0"/>
      <w:divBdr>
        <w:top w:val="none" w:sz="0" w:space="0" w:color="auto"/>
        <w:left w:val="none" w:sz="0" w:space="0" w:color="auto"/>
        <w:bottom w:val="none" w:sz="0" w:space="0" w:color="auto"/>
        <w:right w:val="none" w:sz="0" w:space="0" w:color="auto"/>
      </w:divBdr>
      <w:divsChild>
        <w:div w:id="1479878957">
          <w:marLeft w:val="0"/>
          <w:marRight w:val="0"/>
          <w:marTop w:val="0"/>
          <w:marBottom w:val="0"/>
          <w:divBdr>
            <w:top w:val="none" w:sz="0" w:space="0" w:color="auto"/>
            <w:left w:val="none" w:sz="0" w:space="0" w:color="auto"/>
            <w:bottom w:val="none" w:sz="0" w:space="0" w:color="auto"/>
            <w:right w:val="none" w:sz="0" w:space="0" w:color="auto"/>
          </w:divBdr>
          <w:divsChild>
            <w:div w:id="725761357">
              <w:marLeft w:val="0"/>
              <w:marRight w:val="0"/>
              <w:marTop w:val="0"/>
              <w:marBottom w:val="0"/>
              <w:divBdr>
                <w:top w:val="none" w:sz="0" w:space="0" w:color="auto"/>
                <w:left w:val="none" w:sz="0" w:space="0" w:color="auto"/>
                <w:bottom w:val="none" w:sz="0" w:space="0" w:color="auto"/>
                <w:right w:val="none" w:sz="0" w:space="0" w:color="auto"/>
              </w:divBdr>
            </w:div>
          </w:divsChild>
        </w:div>
        <w:div w:id="2039624694">
          <w:marLeft w:val="0"/>
          <w:marRight w:val="0"/>
          <w:marTop w:val="0"/>
          <w:marBottom w:val="0"/>
          <w:divBdr>
            <w:top w:val="none" w:sz="0" w:space="0" w:color="auto"/>
            <w:left w:val="none" w:sz="0" w:space="0" w:color="auto"/>
            <w:bottom w:val="none" w:sz="0" w:space="0" w:color="auto"/>
            <w:right w:val="none" w:sz="0" w:space="0" w:color="auto"/>
          </w:divBdr>
          <w:divsChild>
            <w:div w:id="249511073">
              <w:marLeft w:val="0"/>
              <w:marRight w:val="0"/>
              <w:marTop w:val="0"/>
              <w:marBottom w:val="0"/>
              <w:divBdr>
                <w:top w:val="none" w:sz="0" w:space="0" w:color="auto"/>
                <w:left w:val="none" w:sz="0" w:space="0" w:color="auto"/>
                <w:bottom w:val="none" w:sz="0" w:space="0" w:color="auto"/>
                <w:right w:val="none" w:sz="0" w:space="0" w:color="auto"/>
              </w:divBdr>
            </w:div>
          </w:divsChild>
        </w:div>
        <w:div w:id="1107581289">
          <w:marLeft w:val="0"/>
          <w:marRight w:val="0"/>
          <w:marTop w:val="0"/>
          <w:marBottom w:val="0"/>
          <w:divBdr>
            <w:top w:val="none" w:sz="0" w:space="0" w:color="auto"/>
            <w:left w:val="none" w:sz="0" w:space="0" w:color="auto"/>
            <w:bottom w:val="none" w:sz="0" w:space="0" w:color="auto"/>
            <w:right w:val="none" w:sz="0" w:space="0" w:color="auto"/>
          </w:divBdr>
          <w:divsChild>
            <w:div w:id="2146384645">
              <w:marLeft w:val="0"/>
              <w:marRight w:val="0"/>
              <w:marTop w:val="0"/>
              <w:marBottom w:val="0"/>
              <w:divBdr>
                <w:top w:val="none" w:sz="0" w:space="0" w:color="auto"/>
                <w:left w:val="none" w:sz="0" w:space="0" w:color="auto"/>
                <w:bottom w:val="none" w:sz="0" w:space="0" w:color="auto"/>
                <w:right w:val="none" w:sz="0" w:space="0" w:color="auto"/>
              </w:divBdr>
            </w:div>
          </w:divsChild>
        </w:div>
        <w:div w:id="1696036571">
          <w:marLeft w:val="0"/>
          <w:marRight w:val="0"/>
          <w:marTop w:val="0"/>
          <w:marBottom w:val="0"/>
          <w:divBdr>
            <w:top w:val="none" w:sz="0" w:space="0" w:color="auto"/>
            <w:left w:val="none" w:sz="0" w:space="0" w:color="auto"/>
            <w:bottom w:val="none" w:sz="0" w:space="0" w:color="auto"/>
            <w:right w:val="none" w:sz="0" w:space="0" w:color="auto"/>
          </w:divBdr>
          <w:divsChild>
            <w:div w:id="2041006725">
              <w:marLeft w:val="0"/>
              <w:marRight w:val="0"/>
              <w:marTop w:val="0"/>
              <w:marBottom w:val="0"/>
              <w:divBdr>
                <w:top w:val="none" w:sz="0" w:space="0" w:color="auto"/>
                <w:left w:val="none" w:sz="0" w:space="0" w:color="auto"/>
                <w:bottom w:val="none" w:sz="0" w:space="0" w:color="auto"/>
                <w:right w:val="none" w:sz="0" w:space="0" w:color="auto"/>
              </w:divBdr>
            </w:div>
          </w:divsChild>
        </w:div>
        <w:div w:id="813451062">
          <w:marLeft w:val="0"/>
          <w:marRight w:val="0"/>
          <w:marTop w:val="0"/>
          <w:marBottom w:val="0"/>
          <w:divBdr>
            <w:top w:val="none" w:sz="0" w:space="0" w:color="auto"/>
            <w:left w:val="none" w:sz="0" w:space="0" w:color="auto"/>
            <w:bottom w:val="none" w:sz="0" w:space="0" w:color="auto"/>
            <w:right w:val="none" w:sz="0" w:space="0" w:color="auto"/>
          </w:divBdr>
          <w:divsChild>
            <w:div w:id="14110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3DD4-77F8-4C69-A7FF-B4898AC3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BayUni</dc:creator>
  <cp:keywords/>
  <dc:description/>
  <cp:lastModifiedBy>BayUni</cp:lastModifiedBy>
  <cp:revision>3</cp:revision>
  <dcterms:created xsi:type="dcterms:W3CDTF">2020-02-07T08:03:00Z</dcterms:created>
  <dcterms:modified xsi:type="dcterms:W3CDTF">2020-02-07T08:16:00Z</dcterms:modified>
</cp:coreProperties>
</file>